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2"/>
          <w:szCs w:val="32"/>
          <w:u w:val="single"/>
          <w:rtl w:val="0"/>
        </w:rPr>
        <w:t xml:space="preserve">Report For News Article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 Winnipeg a health care aide's addiction to alcohol, which is qualifies as a disability gets her fired from her job. The article states that it was wrong of her employer's to fire her for drinking off the job, a Manitoba human rights adjudicator has ruled. Linda Horrocks got suspended from sor in June 2011 afters co-workers complained that she was drunk at work, according to the evidence that they presented at the human rights board hearing. At the hearing she ruled that the health authority failed to accommodate Linda disability because they did not seek advice from experts in drawing up conditions for her to return to work in 2011.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Human Rights Broken: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Some of the human rights that were broken is this article are article 24 where it states that </w:t>
      </w:r>
      <w:r w:rsidDel="00000000" w:rsidR="00000000" w:rsidRPr="00000000">
        <w:rPr>
          <w:i w:val="1"/>
          <w:sz w:val="28"/>
          <w:szCs w:val="28"/>
          <w:rtl w:val="0"/>
        </w:rPr>
        <w:t xml:space="preserve">“</w:t>
      </w:r>
      <w:r w:rsidDel="00000000" w:rsidR="00000000" w:rsidRPr="00000000">
        <w:rPr>
          <w:i w:val="1"/>
          <w:color w:val="300906"/>
          <w:sz w:val="28"/>
          <w:szCs w:val="28"/>
          <w:highlight w:val="white"/>
          <w:rtl w:val="0"/>
        </w:rPr>
        <w:t xml:space="preserve">Everyone has the right to rest and leisure, including reasonable limitation of working hours and periodic holidays with pay.</w:t>
      </w:r>
      <w:r w:rsidDel="00000000" w:rsidR="00000000" w:rsidRPr="00000000">
        <w:rPr>
          <w:i w:val="1"/>
          <w:sz w:val="28"/>
          <w:szCs w:val="28"/>
          <w:highlight w:val="white"/>
          <w:rtl w:val="0"/>
        </w:rPr>
        <w:t xml:space="preserve">”</w:t>
      </w:r>
      <w:r w:rsidDel="00000000" w:rsidR="00000000" w:rsidRPr="00000000">
        <w:rPr>
          <w:sz w:val="28"/>
          <w:szCs w:val="28"/>
          <w:highlight w:val="white"/>
          <w:rtl w:val="0"/>
        </w:rPr>
        <w:t xml:space="preserve"> This law was broken because she was fired for what she did outside of work which this law states that you can't do. Another law broken is article 30 </w:t>
      </w:r>
      <w:r w:rsidDel="00000000" w:rsidR="00000000" w:rsidRPr="00000000">
        <w:rPr>
          <w:sz w:val="28"/>
          <w:szCs w:val="28"/>
          <w:rtl w:val="0"/>
        </w:rPr>
        <w:t xml:space="preserve"> which states that </w:t>
      </w:r>
      <w:r w:rsidDel="00000000" w:rsidR="00000000" w:rsidRPr="00000000">
        <w:rPr>
          <w:i w:val="1"/>
          <w:sz w:val="28"/>
          <w:szCs w:val="28"/>
          <w:rtl w:val="0"/>
        </w:rPr>
        <w:t xml:space="preserve">“</w:t>
      </w:r>
      <w:r w:rsidDel="00000000" w:rsidR="00000000" w:rsidRPr="00000000">
        <w:rPr>
          <w:i w:val="1"/>
          <w:color w:val="300906"/>
          <w:sz w:val="28"/>
          <w:szCs w:val="28"/>
          <w:highlight w:val="white"/>
          <w:rtl w:val="0"/>
        </w:rPr>
        <w:t xml:space="preserve">Nothing in this Declaration may be interpreted as implying for any State, group or person any right to engage in any activity or to perform any act aimed at the destruction of any of the rights and freedoms set forth herein.</w:t>
      </w:r>
      <w:r w:rsidDel="00000000" w:rsidR="00000000" w:rsidRPr="00000000">
        <w:rPr>
          <w:i w:val="1"/>
          <w:sz w:val="28"/>
          <w:szCs w:val="28"/>
          <w:highlight w:val="white"/>
          <w:rtl w:val="0"/>
        </w:rPr>
        <w:t xml:space="preserve">”</w:t>
      </w:r>
      <w:r w:rsidDel="00000000" w:rsidR="00000000" w:rsidRPr="00000000">
        <w:rPr>
          <w:sz w:val="28"/>
          <w:szCs w:val="28"/>
          <w:highlight w:val="white"/>
          <w:rtl w:val="0"/>
        </w:rPr>
        <w:t xml:space="preserve"> That her rights and freedoms were broken because she should be allowed to do whatever she wants outside of work as long as it does not interfere with her work.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Discussion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 What do you think should happen with Linda and her drinking problem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Do you think that any other laws were broken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Link: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sz w:val="28"/>
            <w:szCs w:val="28"/>
            <w:u w:val="single"/>
            <w:rtl w:val="0"/>
          </w:rPr>
          <w:t xml:space="preserve">http://news.nationalpost.com/news/canada/excessive-drinking-not-a-firing-offence-for-an-alcoholic-manitoba-human-rights-board-rules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sz w:val="28"/>
          <w:szCs w:val="28"/>
          <w:rtl w:val="0"/>
        </w:rPr>
        <w:t xml:space="preserve">work cited</w:t>
      </w:r>
    </w:p>
    <w:p w:rsidR="00000000" w:rsidDel="00000000" w:rsidP="00000000" w:rsidRDefault="00000000" w:rsidRPr="00000000">
      <w:pPr>
        <w:spacing w:line="331.2" w:lineRule="auto"/>
        <w:contextualSpacing w:val="0"/>
        <w:jc w:val="left"/>
      </w:pPr>
      <w:r w:rsidDel="00000000" w:rsidR="00000000" w:rsidRPr="00000000">
        <w:rPr>
          <w:sz w:val="28"/>
          <w:szCs w:val="28"/>
          <w:rtl w:val="0"/>
        </w:rPr>
        <w:t xml:space="preserve">  "Excessive Drinking Not a Firing Offence for an Alcoholic, Manitoba Human Rights Board Rules." </w:t>
      </w:r>
      <w:r w:rsidDel="00000000" w:rsidR="00000000" w:rsidRPr="00000000">
        <w:rPr>
          <w:i w:val="1"/>
          <w:sz w:val="28"/>
          <w:szCs w:val="28"/>
          <w:rtl w:val="0"/>
        </w:rPr>
        <w:t xml:space="preserve">National Post Excessive Drinking Not a Firing Offence for an Alcoholic Manitoba Human Rights Boardrules Comments</w:t>
      </w:r>
      <w:r w:rsidDel="00000000" w:rsidR="00000000" w:rsidRPr="00000000">
        <w:rPr>
          <w:sz w:val="28"/>
          <w:szCs w:val="28"/>
          <w:rtl w:val="0"/>
        </w:rPr>
        <w:t xml:space="preserve">. N.p., n.d. Web. 21 Oct. 2015.                      </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news.nationalpost.com/news/canada/excessive-drinking-not-a-firing-offence-for-an-alcoholic-manitoba-human-rights-board-rules" TargetMode="External"/></Relationships>
</file>